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63" w:rsidRDefault="0084248D" w:rsidP="00822CED">
      <w:pPr>
        <w:pStyle w:val="20"/>
        <w:shd w:val="clear" w:color="auto" w:fill="auto"/>
        <w:ind w:left="360"/>
      </w:pPr>
      <w:r>
        <w:t>ПРОТОКОЛ</w:t>
      </w:r>
    </w:p>
    <w:p w:rsidR="00793B63" w:rsidRDefault="0084248D" w:rsidP="00822CED">
      <w:pPr>
        <w:pStyle w:val="20"/>
        <w:shd w:val="clear" w:color="auto" w:fill="auto"/>
        <w:spacing w:line="240" w:lineRule="auto"/>
        <w:ind w:left="20" w:right="460" w:firstLine="640"/>
      </w:pPr>
      <w:r>
        <w:t xml:space="preserve">заседания «Консультативного Совета при председателе Комитета </w:t>
      </w:r>
      <w:r w:rsidR="00822CED">
        <w:t xml:space="preserve"> </w:t>
      </w:r>
      <w:r>
        <w:t>Государственной Думы по энергетике, по взаимодействию предприятий нефтегазового комплекса со смежными отраслями промышленности»</w:t>
      </w:r>
    </w:p>
    <w:p w:rsidR="00822CED" w:rsidRDefault="00822CED" w:rsidP="00822CED">
      <w:pPr>
        <w:pStyle w:val="20"/>
        <w:shd w:val="clear" w:color="auto" w:fill="auto"/>
        <w:spacing w:line="240" w:lineRule="auto"/>
        <w:ind w:left="20" w:right="460" w:firstLine="640"/>
      </w:pPr>
    </w:p>
    <w:p w:rsidR="00793B63" w:rsidRDefault="0084248D" w:rsidP="00822CED">
      <w:pPr>
        <w:pStyle w:val="21"/>
        <w:shd w:val="clear" w:color="auto" w:fill="auto"/>
        <w:tabs>
          <w:tab w:val="right" w:pos="7364"/>
          <w:tab w:val="left" w:pos="7450"/>
        </w:tabs>
        <w:spacing w:before="0" w:after="0" w:line="240" w:lineRule="auto"/>
        <w:ind w:left="20"/>
      </w:pPr>
      <w:r>
        <w:t>г.Москва</w:t>
      </w:r>
      <w:r>
        <w:tab/>
        <w:t>16</w:t>
      </w:r>
      <w:r>
        <w:tab/>
        <w:t>апреля 2014 года</w:t>
      </w:r>
    </w:p>
    <w:p w:rsidR="00822CED" w:rsidRDefault="00822CED" w:rsidP="00822CED">
      <w:pPr>
        <w:pStyle w:val="21"/>
        <w:shd w:val="clear" w:color="auto" w:fill="auto"/>
        <w:tabs>
          <w:tab w:val="right" w:pos="7364"/>
          <w:tab w:val="left" w:pos="7450"/>
        </w:tabs>
        <w:spacing w:before="0" w:after="0" w:line="240" w:lineRule="auto"/>
        <w:ind w:left="20"/>
      </w:pP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3380"/>
        <w:jc w:val="left"/>
      </w:pPr>
      <w:r>
        <w:t xml:space="preserve">Здание Государственной Думы, комната 304 Открытие заседания - 14.00 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3380"/>
        <w:jc w:val="left"/>
      </w:pPr>
      <w:r>
        <w:t>Присутствовало: 61 человек (приложение № 1).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3380"/>
        <w:jc w:val="left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" w:firstLine="640"/>
      </w:pPr>
      <w:r>
        <w:rPr>
          <w:rStyle w:val="0pt"/>
        </w:rPr>
        <w:t xml:space="preserve">Председательствующий: </w:t>
      </w:r>
      <w:r>
        <w:t>Грачев Иван Дмитриевич, Председатель Консультативного Совета Комитета по энергетике.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" w:firstLine="640"/>
      </w:pPr>
    </w:p>
    <w:p w:rsidR="00793B63" w:rsidRDefault="0084248D" w:rsidP="00822CED">
      <w:pPr>
        <w:pStyle w:val="20"/>
        <w:shd w:val="clear" w:color="auto" w:fill="auto"/>
        <w:spacing w:line="240" w:lineRule="auto"/>
        <w:ind w:left="20" w:right="2" w:firstLine="640"/>
        <w:jc w:val="both"/>
      </w:pPr>
      <w:r>
        <w:t>Тематика заседания: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"/>
      </w:pPr>
      <w:r>
        <w:t>Практика реализации крупных инвестиционных проектов в нефтегазовом комплексе в новых экономических условиях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"/>
      </w:pPr>
    </w:p>
    <w:p w:rsidR="00793B63" w:rsidRDefault="0084248D" w:rsidP="00822CED">
      <w:pPr>
        <w:pStyle w:val="20"/>
        <w:shd w:val="clear" w:color="auto" w:fill="auto"/>
        <w:spacing w:line="240" w:lineRule="auto"/>
        <w:ind w:left="20" w:firstLine="640"/>
        <w:jc w:val="both"/>
      </w:pPr>
      <w:r>
        <w:t>Регламент заседания: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t>Открытие заседания. Вступительное слово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940"/>
      </w:pPr>
      <w:r>
        <w:t>Грачев Иван Дмитриевич, Депутат Государственной Думы, Председатель Комитета по энергетике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940"/>
      </w:pPr>
      <w:r>
        <w:t>Крутов Андрей Дмитриевич, Сопредседатель Консультативного Совета, Депутат Государственной Думы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94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rPr>
          <w:rStyle w:val="1"/>
        </w:rPr>
        <w:t>В ходе заседания были заслушаны следующие выступления:</w:t>
      </w:r>
    </w:p>
    <w:p w:rsidR="00793B63" w:rsidRDefault="00822CED" w:rsidP="00822CED">
      <w:pPr>
        <w:pStyle w:val="21"/>
        <w:shd w:val="clear" w:color="auto" w:fill="auto"/>
        <w:spacing w:before="0" w:after="0" w:line="240" w:lineRule="auto"/>
        <w:ind w:left="20"/>
      </w:pPr>
      <w:r>
        <w:t>Г</w:t>
      </w:r>
      <w:r w:rsidR="0084248D">
        <w:t>еоргий Кобулия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2"/>
        <w:jc w:val="left"/>
      </w:pPr>
      <w:r>
        <w:t>Старший</w:t>
      </w:r>
      <w:r w:rsidR="00822CED">
        <w:t xml:space="preserve"> </w:t>
      </w:r>
      <w:r>
        <w:t xml:space="preserve">партнер </w:t>
      </w:r>
      <w:r w:rsidR="00822CED">
        <w:t xml:space="preserve"> </w:t>
      </w:r>
      <w:r>
        <w:rPr>
          <w:lang w:val="en-US"/>
        </w:rPr>
        <w:t>McKinsey</w:t>
      </w:r>
      <w:r w:rsidRPr="00822CED">
        <w:t>&amp;</w:t>
      </w:r>
      <w:r>
        <w:rPr>
          <w:lang w:val="en-US"/>
        </w:rPr>
        <w:t>Company</w:t>
      </w:r>
      <w:r w:rsidRPr="00822CED">
        <w:t xml:space="preserve">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"/>
        <w:jc w:val="left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5080"/>
      </w:pPr>
      <w:r>
        <w:t>Дробязко Владимир Алексеевич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2880"/>
      </w:pPr>
      <w:r>
        <w:t xml:space="preserve">Вице-президент Российского союза нефтегазостроителей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88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880"/>
      </w:pPr>
      <w:r>
        <w:t>Калинский Олег Игоревич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3380"/>
      </w:pPr>
      <w:r>
        <w:t xml:space="preserve">Директор Фонда развития трубной промышленности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338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3380"/>
      </w:pPr>
      <w:r>
        <w:t>Дудкин Сергей Александрович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1220"/>
      </w:pPr>
      <w:r>
        <w:t>Начальник Управления Объединения строителей газового и нефтяного комплекса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t>Нигматуллин Виль Ришатович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2120"/>
      </w:pPr>
      <w:r>
        <w:t xml:space="preserve">Начальник департамента ГУП Институт Нефтехимпереработки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12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120"/>
      </w:pPr>
      <w:r>
        <w:t>Жельвис Павел Маркович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t xml:space="preserve">Региональный вице-президент </w:t>
      </w:r>
      <w:r>
        <w:rPr>
          <w:lang w:val="en-US"/>
        </w:rPr>
        <w:t>Foster</w:t>
      </w:r>
      <w:r w:rsidRPr="00822CED">
        <w:t xml:space="preserve"> </w:t>
      </w:r>
      <w:r>
        <w:rPr>
          <w:lang w:val="en-US"/>
        </w:rPr>
        <w:t>Wheeler</w:t>
      </w:r>
      <w:r w:rsidRPr="00822CED">
        <w:t xml:space="preserve"> </w:t>
      </w:r>
      <w:r>
        <w:rPr>
          <w:lang w:val="en-US"/>
        </w:rPr>
        <w:t>Intercontinental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2"/>
      </w:pP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2"/>
      </w:pPr>
      <w:r>
        <w:t xml:space="preserve">Борисов Александр Николаевич 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"/>
      </w:pPr>
      <w:r>
        <w:t xml:space="preserve">Вице-президент </w:t>
      </w:r>
      <w:r>
        <w:rPr>
          <w:lang w:val="en-US"/>
        </w:rPr>
        <w:t>Schlumberger</w:t>
      </w:r>
    </w:p>
    <w:p w:rsidR="00793B63" w:rsidRDefault="00793B63" w:rsidP="00822CED">
      <w:pPr>
        <w:ind w:right="2"/>
        <w:jc w:val="both"/>
        <w:rPr>
          <w:sz w:val="2"/>
          <w:szCs w:val="2"/>
        </w:rPr>
        <w:sectPr w:rsidR="00793B63" w:rsidSect="00822CE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lastRenderedPageBreak/>
        <w:t>Кузелев Николай Ревокатович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860"/>
      </w:pPr>
      <w:r>
        <w:t xml:space="preserve">Вице-президент Российского общества по неразрушающему контролю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86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860"/>
      </w:pPr>
      <w:r>
        <w:t>Резниченко Алексей Владимирович</w:t>
      </w:r>
    </w:p>
    <w:p w:rsidR="00822CED" w:rsidRDefault="0084248D" w:rsidP="00822CED">
      <w:pPr>
        <w:pStyle w:val="21"/>
        <w:shd w:val="clear" w:color="auto" w:fill="auto"/>
        <w:spacing w:before="0" w:after="0" w:line="240" w:lineRule="auto"/>
        <w:ind w:left="20" w:right="860"/>
      </w:pPr>
      <w:r>
        <w:t xml:space="preserve">Директор по продажам компании Сименс Технологии Газовых Турбин </w:t>
      </w:r>
    </w:p>
    <w:p w:rsidR="00822CED" w:rsidRDefault="00822CED" w:rsidP="00822CED">
      <w:pPr>
        <w:pStyle w:val="21"/>
        <w:shd w:val="clear" w:color="auto" w:fill="auto"/>
        <w:spacing w:before="0" w:after="0" w:line="240" w:lineRule="auto"/>
        <w:ind w:left="20" w:right="86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860"/>
      </w:pPr>
      <w:r>
        <w:t>Хоменко Владимир Иванович</w:t>
      </w: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/>
      </w:pPr>
      <w:r>
        <w:t>Заместитель генерального директора ЗАО «Псковэлектросвар»</w:t>
      </w:r>
    </w:p>
    <w:p w:rsidR="00822CED" w:rsidRDefault="00822CED" w:rsidP="00822CED">
      <w:pPr>
        <w:pStyle w:val="11"/>
        <w:shd w:val="clear" w:color="auto" w:fill="auto"/>
        <w:spacing w:before="0" w:after="0" w:line="240" w:lineRule="auto"/>
        <w:ind w:left="20"/>
        <w:jc w:val="both"/>
      </w:pPr>
      <w:bookmarkStart w:id="0" w:name="bookmark0"/>
    </w:p>
    <w:p w:rsidR="00793B63" w:rsidRDefault="0084248D" w:rsidP="00822CED">
      <w:pPr>
        <w:pStyle w:val="11"/>
        <w:shd w:val="clear" w:color="auto" w:fill="auto"/>
        <w:spacing w:before="0" w:after="0" w:line="240" w:lineRule="auto"/>
        <w:ind w:left="20"/>
        <w:jc w:val="both"/>
      </w:pPr>
      <w:r>
        <w:t>По результатам обсуждения приняты следующие рекомендации:</w:t>
      </w:r>
      <w:bookmarkEnd w:id="0"/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860"/>
      </w:pPr>
      <w:r>
        <w:rPr>
          <w:rStyle w:val="1"/>
        </w:rPr>
        <w:t>Правительству Российской Федерации: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поручить ФАС и Минэкономразвития разработать протекционистскую политику для национальных производителей и поставщиков услуг, а также предусмотреть меры по выстраиванию взаимоотношений с внутренними и внешними поставщиками технологий, необходимых для реализации проекта освоения арктического шельфа и Восточной нефтегазохимической индустрии;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рассмотреть возможность увеличения уставного капитала компаний со 100% государственным участием в целях формирования пула финансовых ресурсов для инициации крупных и эффективных инвестиционных проектов в нефтегазовом комплексе;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рассмотреть возможность выпустить нормативный акт, приравнивающий к государственным закупки, осуществляемые для крупных инвестиционных трубопроводных проектов.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20" w:firstLine="860"/>
      </w:pPr>
      <w:r>
        <w:rPr>
          <w:rStyle w:val="1"/>
        </w:rPr>
        <w:t>Минстрою: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сформировать подразделение, ответственное за решение проблем в сфере нефтегазового строительства;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с привлечением заинтересованных сторон, в целях повышения производительности труда в нефтегазовом строительстве, разработать научно-техническую программу: «Техника, технология и организация работ в нефтегазовом строительстве». Инициировать пересмотр сметно</w:t>
      </w:r>
      <w:r>
        <w:softHyphen/>
        <w:t>нормативной базы с учётом применения прогрессивных строительных технологий, машин, механизмов, материалов и их реальной стоимости;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совместно с Минэнерго, Минпромторгом, Минэкономразвития, Минобрнауки определить в качестве ведущей научно-исследовательской и технологической организации по строительству объектов нефтегазового комплекса - НИЦ «Строительство», консолидировав в нем основной научный потенциал подведомственных обществ;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860"/>
      </w:pPr>
      <w:r>
        <w:rPr>
          <w:rStyle w:val="1"/>
        </w:rPr>
        <w:t>Минэнерго: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9"/>
        </w:tabs>
        <w:spacing w:before="0" w:after="0" w:line="240" w:lineRule="auto"/>
        <w:ind w:left="20" w:right="20" w:firstLine="860"/>
      </w:pPr>
      <w:r>
        <w:t>совместно с Минобрнауки, Росстандартом и другими заинтересованными федеральными органами исполнительной власти с участием профессиональных объединений и саморегулируемых организаций, организовать разработку государственных комплексно-целевых программ:</w:t>
      </w:r>
    </w:p>
    <w:p w:rsidR="00793B63" w:rsidRDefault="0084248D" w:rsidP="00822CED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240" w:lineRule="auto"/>
        <w:ind w:left="380"/>
      </w:pPr>
      <w:r>
        <w:t>Нефть и газ шельфов арктических морей;</w:t>
      </w:r>
    </w:p>
    <w:p w:rsidR="00793B63" w:rsidRDefault="0084248D" w:rsidP="00822CED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240" w:lineRule="auto"/>
        <w:ind w:left="380"/>
      </w:pPr>
      <w:r>
        <w:t>Восточная нефтегазохимическая индустрия;</w:t>
      </w:r>
    </w:p>
    <w:p w:rsidR="00793B63" w:rsidRDefault="00793B63" w:rsidP="00822CED">
      <w:pPr>
        <w:jc w:val="both"/>
        <w:rPr>
          <w:sz w:val="2"/>
          <w:szCs w:val="2"/>
        </w:rPr>
        <w:sectPr w:rsidR="00793B63" w:rsidSect="00822CE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93B63" w:rsidRDefault="0084248D" w:rsidP="00822CED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360"/>
      </w:pPr>
      <w:r>
        <w:lastRenderedPageBreak/>
        <w:t>Сварка в нефтегазовом строительстве;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Минэкономразвития, Минстроем, Росстандартом, внести предложение в Правительство РФ об организации национального интегратора - структуры для реализации принятой целевой программы, способной управлять процессом освоения шельфа, как единым межотраслевым проектом с учетом интересов российских участников и экономики России в целом.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860"/>
      </w:pPr>
      <w:r>
        <w:rPr>
          <w:rStyle w:val="1"/>
        </w:rPr>
        <w:t>Минпромторгу: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ускорить формирование подразделения, ответственного за работу с нефтегазовым комплексом;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принять участие в экспертизе инвестиционных программ естественных монополий с целью максимального использования научно</w:t>
      </w:r>
      <w:r>
        <w:softHyphen/>
        <w:t>технического и производственного потенциала российской промышленности;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активизировать работу Общественного Совета по работе с поставщиками и подрядчиками нефтегазового комплекса;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Минэнерго, ФАС, Счетной палатой (для проверки реализации данного предложения) разработать комплекс мер по противодействию «демпингу»;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Минэнерго, ФАС нефтегазовым компаниям в начале каждого года размещать информацию в открытом доступе план закупок и СМР на текущий год, в целях формирования подрядчиками бизнес планов и подготовки к предстоящим торгам;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Минэнерго, ФТС разработать обязательную для нефтегазовой отрасли систему противодействия применению контрафактной продукции в процессе строительства;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Минэнерго, ФАС, Минэкономразвития создать в сети Интернет открытую базу данных о подрядчиках и поставщиках нефтегазового комплекса, а также капитальных затратах в нефтегазовые объекты с использованием опыта зарубежных стран;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Минэкономразвития подготовить и внести в установленном порядке проект нормативного акта, приравнивающий закупки стратегических компаний, осуществляемые для реализации инфраструктурных проектов, к госзакупкам.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обеспечить единые требования к оборудованию зарубежных и российских производителей на основании технических регламентов и национальных стандартов.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firstLine="860"/>
      </w:pPr>
      <w:r>
        <w:rPr>
          <w:rStyle w:val="1"/>
        </w:rPr>
        <w:t>Минобрнауке: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 и Минпромторгом на базе МВТУ им. Баумана организовать научно-исследовательский центр «Сварка», определив его в качестве ведущей российской научно-исследовательской организации в области сварочных работ;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left="20" w:right="20" w:firstLine="860"/>
      </w:pPr>
      <w:r>
        <w:t>совместно с Минэнерго и Минпромторгом на базе Университета нефти и газа имени Губкина, при активном участии ведущих российский предприятий-производителей разработать программу подготовки</w:t>
      </w:r>
    </w:p>
    <w:p w:rsidR="00793B63" w:rsidRDefault="00793B63" w:rsidP="00822CED">
      <w:pPr>
        <w:jc w:val="both"/>
        <w:rPr>
          <w:sz w:val="2"/>
          <w:szCs w:val="2"/>
        </w:rPr>
        <w:sectPr w:rsidR="00793B63" w:rsidSect="00822CE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93B63" w:rsidRDefault="0084248D" w:rsidP="00822CED">
      <w:pPr>
        <w:pStyle w:val="21"/>
        <w:shd w:val="clear" w:color="auto" w:fill="auto"/>
        <w:tabs>
          <w:tab w:val="left" w:pos="1445"/>
        </w:tabs>
        <w:spacing w:before="0" w:after="0" w:line="240" w:lineRule="auto"/>
        <w:ind w:left="20" w:right="20"/>
      </w:pPr>
      <w:r>
        <w:lastRenderedPageBreak/>
        <w:t>специалистов по эксплуатации приборов контроля в области приборного обеспечения НК и ТД.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firstLine="860"/>
      </w:pPr>
      <w:r>
        <w:rPr>
          <w:rStyle w:val="1"/>
        </w:rPr>
        <w:t>ФТС России: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совместно с Минэкономразвития России внести изменения в ТН ВЭД России с целью выделения оборудования для нефтегазового комплекса от других видов промышленной продукции и получения достоверной информации об импортных закупках;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ежеквартально публиковать объемы закупок по импорту основных видов продукции для нефтегазового комплекса.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firstLine="860"/>
      </w:pPr>
      <w:r>
        <w:rPr>
          <w:rStyle w:val="1"/>
        </w:rPr>
        <w:t>Ростехнадзору: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провести инвентаризацию основного производственного и технологического оборудования, используемого в нефтегазовой отрасли на опасных производственных объектах. Полученные данные опубликовать;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подготовить информацию о возрастной структуре нефтегазового оборудования и оборудования, отработавшего установленный срок.</w:t>
      </w:r>
    </w:p>
    <w:p w:rsidR="00793B63" w:rsidRDefault="0084248D" w:rsidP="00822CED">
      <w:pPr>
        <w:pStyle w:val="21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firstLine="860"/>
      </w:pPr>
      <w:r>
        <w:rPr>
          <w:rStyle w:val="1"/>
        </w:rPr>
        <w:t>Нефтегазовым компаниям: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к тендерам на сложные объекты допускать монтажные фирмы, имеющие оборудованные базы по производству трубных узлов, а так же необходимое мобильное оборудование. До 70% объема механо-монтажных работ выполнять узловым методом на производственных базах монтажных организаций;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при формировании критериев отбора подрядчиков на проектирование и инжиниринг создавать равные условия для участия в отборе, как иностранных, так и отечественных подрядчиков;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предоставлять возможность для отечественных подрядчиков выступать лидером в консорциуме с иностранными компаниями;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>принять участие в формировании ежегодного рейтинга нефтегазостроительных подрядчиков на основе оценок их деятельности по основным критериям;</w:t>
      </w:r>
    </w:p>
    <w:p w:rsidR="00793B63" w:rsidRDefault="0084248D" w:rsidP="00822CED">
      <w:pPr>
        <w:pStyle w:val="21"/>
        <w:numPr>
          <w:ilvl w:val="1"/>
          <w:numId w:val="1"/>
        </w:numPr>
        <w:shd w:val="clear" w:color="auto" w:fill="auto"/>
        <w:tabs>
          <w:tab w:val="left" w:pos="1438"/>
        </w:tabs>
        <w:spacing w:before="0" w:after="0" w:line="240" w:lineRule="auto"/>
        <w:ind w:left="20" w:right="20" w:firstLine="860"/>
      </w:pPr>
      <w:r>
        <w:t xml:space="preserve">не допускать дискриминации отечественных подрядчиков на услуги проектирования на предмет отсутствия опыта разработки </w:t>
      </w:r>
      <w:r>
        <w:rPr>
          <w:lang w:val="en-US"/>
        </w:rPr>
        <w:t>FEED</w:t>
      </w:r>
      <w:r w:rsidRPr="00822CED">
        <w:t xml:space="preserve">, </w:t>
      </w:r>
      <w:r>
        <w:t>если у него на субподряде выступает иностранная компания, владеющая опытом разработки такового.</w:t>
      </w:r>
    </w:p>
    <w:p w:rsidR="00822CED" w:rsidRDefault="00FC7415" w:rsidP="00822CED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left="880" w:right="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53340</wp:posOffset>
            </wp:positionV>
            <wp:extent cx="1457325" cy="1485900"/>
            <wp:effectExtent l="19050" t="0" r="9525" b="0"/>
            <wp:wrapNone/>
            <wp:docPr id="4" name="Рисунок 1" descr="C:\Documents and Settings\Бушова\Рабочий стол\ОБЩИЕ\КАНЦЕЛЯРИЯ\ФАКСИМИЛЕ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ушова\Рабочий стол\ОБЩИЕ\КАНЦЕЛЯРИЯ\ФАКСИМИЛЕ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CED" w:rsidRDefault="00822CED" w:rsidP="00822CED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left="880" w:right="20"/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"/>
      </w:pPr>
      <w:r>
        <w:t>Председатель Комитета,</w:t>
      </w:r>
    </w:p>
    <w:p w:rsidR="00FC7415" w:rsidRDefault="00FC7415" w:rsidP="00FC7415">
      <w:pPr>
        <w:framePr w:wrap="none" w:vAnchor="page" w:hAnchor="page" w:x="4803" w:y="7251"/>
        <w:rPr>
          <w:sz w:val="2"/>
          <w:szCs w:val="2"/>
        </w:rPr>
      </w:pPr>
    </w:p>
    <w:p w:rsidR="00793B63" w:rsidRDefault="0084248D" w:rsidP="00822CED">
      <w:pPr>
        <w:pStyle w:val="21"/>
        <w:shd w:val="clear" w:color="auto" w:fill="auto"/>
        <w:spacing w:before="0" w:after="0" w:line="240" w:lineRule="auto"/>
        <w:ind w:left="20" w:right="2"/>
      </w:pPr>
      <w:r>
        <w:t>Председатель Консультативного Совета</w:t>
      </w:r>
      <w:r w:rsidR="00822CED">
        <w:t xml:space="preserve">                                                       И.Д.Грачёв</w:t>
      </w:r>
    </w:p>
    <w:p w:rsidR="00793B63" w:rsidRDefault="00793B63" w:rsidP="00822CED">
      <w:pPr>
        <w:jc w:val="both"/>
        <w:rPr>
          <w:sz w:val="2"/>
          <w:szCs w:val="2"/>
        </w:rPr>
      </w:pPr>
    </w:p>
    <w:sectPr w:rsidR="00793B63" w:rsidSect="00822CED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9F" w:rsidRDefault="00757A9F" w:rsidP="00793B63">
      <w:r>
        <w:separator/>
      </w:r>
    </w:p>
  </w:endnote>
  <w:endnote w:type="continuationSeparator" w:id="1">
    <w:p w:rsidR="00757A9F" w:rsidRDefault="00757A9F" w:rsidP="00793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9F" w:rsidRDefault="00757A9F"/>
  </w:footnote>
  <w:footnote w:type="continuationSeparator" w:id="1">
    <w:p w:rsidR="00757A9F" w:rsidRDefault="00757A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29F"/>
    <w:multiLevelType w:val="multilevel"/>
    <w:tmpl w:val="07A80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1492B"/>
    <w:multiLevelType w:val="multilevel"/>
    <w:tmpl w:val="8BF47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93B63"/>
    <w:rsid w:val="00480488"/>
    <w:rsid w:val="00757A9F"/>
    <w:rsid w:val="00793B63"/>
    <w:rsid w:val="00817E45"/>
    <w:rsid w:val="00822CED"/>
    <w:rsid w:val="0084248D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B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B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793B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sid w:val="00793B63"/>
    <w:rPr>
      <w:b/>
      <w:bCs/>
      <w:color w:val="000000"/>
      <w:spacing w:val="-1"/>
      <w:w w:val="100"/>
      <w:position w:val="0"/>
      <w:lang w:val="ru-RU"/>
    </w:rPr>
  </w:style>
  <w:style w:type="character" w:customStyle="1" w:styleId="1">
    <w:name w:val="Основной текст1"/>
    <w:basedOn w:val="a4"/>
    <w:rsid w:val="00793B63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793B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793B6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rsid w:val="00793B63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93B63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7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4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СРО НП Нефтегазстрой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Huchbarov</dc:creator>
  <cp:keywords/>
  <cp:lastModifiedBy>Бушова</cp:lastModifiedBy>
  <cp:revision>3</cp:revision>
  <dcterms:created xsi:type="dcterms:W3CDTF">2014-05-12T07:14:00Z</dcterms:created>
  <dcterms:modified xsi:type="dcterms:W3CDTF">2014-05-12T09:46:00Z</dcterms:modified>
</cp:coreProperties>
</file>