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F12" w:rsidRDefault="003D1F12" w:rsidP="00BB565F">
      <w:pPr>
        <w:spacing w:before="0" w:after="0"/>
        <w:ind w:firstLine="0"/>
        <w:jc w:val="center"/>
        <w:rPr>
          <w:b/>
          <w:szCs w:val="28"/>
        </w:rPr>
      </w:pPr>
    </w:p>
    <w:p w:rsidR="000E57BC" w:rsidRPr="00A225F6" w:rsidRDefault="00676FEE" w:rsidP="003D1F12">
      <w:pPr>
        <w:spacing w:before="0" w:after="0"/>
        <w:ind w:firstLine="0"/>
        <w:jc w:val="center"/>
        <w:rPr>
          <w:b/>
          <w:szCs w:val="28"/>
        </w:rPr>
      </w:pPr>
      <w:r w:rsidRPr="00A225F6">
        <w:rPr>
          <w:b/>
          <w:szCs w:val="28"/>
        </w:rPr>
        <w:t>РЕШЕНИЕ № 1</w:t>
      </w:r>
    </w:p>
    <w:p w:rsidR="00676FEE" w:rsidRPr="00A225F6" w:rsidRDefault="00676FEE" w:rsidP="003D1F12">
      <w:pPr>
        <w:spacing w:before="0" w:after="0"/>
        <w:ind w:firstLine="0"/>
        <w:jc w:val="center"/>
        <w:rPr>
          <w:b/>
          <w:szCs w:val="28"/>
        </w:rPr>
      </w:pPr>
      <w:r w:rsidRPr="00A225F6">
        <w:rPr>
          <w:b/>
          <w:szCs w:val="28"/>
        </w:rPr>
        <w:t xml:space="preserve">очередного </w:t>
      </w:r>
      <w:r w:rsidRPr="00A225F6">
        <w:rPr>
          <w:b/>
          <w:szCs w:val="28"/>
          <w:lang w:val="en-US"/>
        </w:rPr>
        <w:t>VI</w:t>
      </w:r>
      <w:r w:rsidRPr="00A225F6">
        <w:rPr>
          <w:b/>
          <w:szCs w:val="28"/>
        </w:rPr>
        <w:t xml:space="preserve"> Съезда Российского Союза Нефтегазостроителей</w:t>
      </w:r>
    </w:p>
    <w:p w:rsidR="00676FEE" w:rsidRPr="00A225F6" w:rsidRDefault="00676FEE" w:rsidP="003D1F12">
      <w:pPr>
        <w:spacing w:before="0" w:after="0"/>
        <w:ind w:firstLine="0"/>
        <w:jc w:val="center"/>
        <w:rPr>
          <w:b/>
          <w:szCs w:val="28"/>
        </w:rPr>
      </w:pPr>
      <w:r w:rsidRPr="00A225F6">
        <w:rPr>
          <w:b/>
          <w:szCs w:val="28"/>
        </w:rPr>
        <w:t>«Отчет о работе Совета РОССНГС за период 2018-2022 гг.»</w:t>
      </w:r>
    </w:p>
    <w:p w:rsidR="00676FEE" w:rsidRPr="00A225F6" w:rsidRDefault="00676FEE" w:rsidP="003D1F12">
      <w:pPr>
        <w:pStyle w:val="a7"/>
      </w:pPr>
    </w:p>
    <w:p w:rsidR="00676FEE" w:rsidRPr="00A225F6" w:rsidRDefault="00676FEE" w:rsidP="00BB565F">
      <w:pPr>
        <w:spacing w:before="0" w:after="0"/>
        <w:ind w:firstLine="0"/>
        <w:rPr>
          <w:szCs w:val="28"/>
        </w:rPr>
      </w:pPr>
      <w:r w:rsidRPr="00A225F6">
        <w:rPr>
          <w:szCs w:val="28"/>
        </w:rPr>
        <w:t xml:space="preserve">23 марта 2023 г.                                   </w:t>
      </w:r>
      <w:r w:rsidR="00BB565F" w:rsidRPr="00A225F6">
        <w:rPr>
          <w:szCs w:val="28"/>
        </w:rPr>
        <w:t xml:space="preserve">                        </w:t>
      </w:r>
      <w:r w:rsidR="00A225F6">
        <w:rPr>
          <w:szCs w:val="28"/>
        </w:rPr>
        <w:t xml:space="preserve">                   </w:t>
      </w:r>
      <w:r w:rsidR="003D1F12">
        <w:rPr>
          <w:szCs w:val="28"/>
        </w:rPr>
        <w:tab/>
      </w:r>
      <w:r w:rsidR="003D1F12">
        <w:rPr>
          <w:szCs w:val="28"/>
        </w:rPr>
        <w:tab/>
        <w:t xml:space="preserve">   </w:t>
      </w:r>
      <w:r w:rsidR="00A225F6">
        <w:rPr>
          <w:szCs w:val="28"/>
        </w:rPr>
        <w:t xml:space="preserve">   </w:t>
      </w:r>
      <w:r w:rsidRPr="00A225F6">
        <w:rPr>
          <w:szCs w:val="28"/>
        </w:rPr>
        <w:t>г. Москва</w:t>
      </w:r>
    </w:p>
    <w:p w:rsidR="00676FEE" w:rsidRPr="00A225F6" w:rsidRDefault="00676FEE" w:rsidP="003D1F12">
      <w:pPr>
        <w:pStyle w:val="a7"/>
      </w:pPr>
    </w:p>
    <w:p w:rsidR="00676FEE" w:rsidRPr="00A225F6" w:rsidRDefault="00676FEE" w:rsidP="00BB565F">
      <w:pPr>
        <w:spacing w:before="0" w:after="0"/>
        <w:rPr>
          <w:szCs w:val="28"/>
        </w:rPr>
      </w:pPr>
      <w:r w:rsidRPr="00A225F6">
        <w:rPr>
          <w:szCs w:val="28"/>
        </w:rPr>
        <w:t>Заслушав и обсудив доклад Совета Российского Союза Нефтегазостроителей «Отчет о работе Совета РОССНГС за период 2018-2022 гг.» делегаты и участники Съезда отмечают, что в Энергетической стратегии России важная роль отводится топливно-энергетическому комплексу, обеспечивающему сегодня жизнедеятельность всех отраслей национального хозяйства, вносящему решающий вклад в формирование основных финансово-экономических показателей страны. Основными напра</w:t>
      </w:r>
      <w:bookmarkStart w:id="0" w:name="_GoBack"/>
      <w:bookmarkEnd w:id="0"/>
      <w:r w:rsidRPr="00A225F6">
        <w:rPr>
          <w:szCs w:val="28"/>
        </w:rPr>
        <w:t>влениями добычи углеводородов станут месторождения Восточной Сибири, Дальнего Востока и шельфа Арктики.</w:t>
      </w:r>
    </w:p>
    <w:p w:rsidR="00676FEE" w:rsidRPr="00A225F6" w:rsidRDefault="00676FEE" w:rsidP="00BB565F">
      <w:pPr>
        <w:spacing w:before="0" w:after="0"/>
        <w:rPr>
          <w:szCs w:val="28"/>
        </w:rPr>
      </w:pPr>
      <w:r w:rsidRPr="00A225F6">
        <w:rPr>
          <w:szCs w:val="28"/>
        </w:rPr>
        <w:t>Делегаты Съезда считают, что перед нефтегазостроителями стоят вполне конкретные задачи. Россия должна сохранить лидирующие позиции в мировой энергетике, а нефтегазовая отрасль должна стать крупным генератором инноваций.</w:t>
      </w:r>
    </w:p>
    <w:p w:rsidR="00676FEE" w:rsidRPr="00A225F6" w:rsidRDefault="00676FEE" w:rsidP="00BB565F">
      <w:pPr>
        <w:spacing w:before="0" w:after="0"/>
        <w:rPr>
          <w:szCs w:val="28"/>
        </w:rPr>
      </w:pPr>
      <w:r w:rsidRPr="00A225F6">
        <w:rPr>
          <w:szCs w:val="28"/>
        </w:rPr>
        <w:t>На Съезде обсуждались вопросы по дальнейшему развитию взаимодействия Российского Союза Нефтегазостроителей с органами исполнительной и законодательной власти, профильными министерствами и ведомствами, научно-исследовательскими центрами и учебными организациями с целью защиты интересов нефтегазостроителей при разработке федеральных законов, нормативных документов и положений, касающихся вопросов организации капитального строительства и технического регулирования.</w:t>
      </w:r>
    </w:p>
    <w:p w:rsidR="00676FEE" w:rsidRPr="00A225F6" w:rsidRDefault="00676FEE" w:rsidP="00BB565F">
      <w:pPr>
        <w:spacing w:before="0" w:after="0"/>
        <w:rPr>
          <w:szCs w:val="28"/>
        </w:rPr>
      </w:pPr>
      <w:r w:rsidRPr="00A225F6">
        <w:rPr>
          <w:szCs w:val="28"/>
        </w:rPr>
        <w:t xml:space="preserve">За период после </w:t>
      </w:r>
      <w:r w:rsidRPr="00A225F6">
        <w:rPr>
          <w:szCs w:val="28"/>
          <w:lang w:val="en-US"/>
        </w:rPr>
        <w:t>V</w:t>
      </w:r>
      <w:r w:rsidRPr="00A225F6">
        <w:rPr>
          <w:szCs w:val="28"/>
        </w:rPr>
        <w:t xml:space="preserve"> Съезда проведено 22 заседания Совета, на которых рассмотрено более 50 вопросов, относящихся </w:t>
      </w:r>
      <w:r w:rsidR="00B4564E" w:rsidRPr="00A225F6">
        <w:rPr>
          <w:szCs w:val="28"/>
        </w:rPr>
        <w:t>к жизнедеятельности Союза.</w:t>
      </w:r>
    </w:p>
    <w:p w:rsidR="00B4564E" w:rsidRPr="00A225F6" w:rsidRDefault="00B4564E" w:rsidP="00BB565F">
      <w:pPr>
        <w:spacing w:before="0" w:after="0"/>
        <w:rPr>
          <w:szCs w:val="28"/>
        </w:rPr>
      </w:pPr>
      <w:r w:rsidRPr="00A225F6">
        <w:rPr>
          <w:szCs w:val="28"/>
        </w:rPr>
        <w:t>Численность членов Союза на конец 2022 года составила 28 организаций. Строительные организации-члены Союза остаются лидерами нефтегазового строительства и участвуют практически во всех крупных проектах России.</w:t>
      </w:r>
    </w:p>
    <w:p w:rsidR="00B4564E" w:rsidRPr="00A225F6" w:rsidRDefault="00B4564E" w:rsidP="00BB565F">
      <w:pPr>
        <w:spacing w:before="0" w:after="0"/>
        <w:rPr>
          <w:szCs w:val="28"/>
        </w:rPr>
      </w:pPr>
      <w:r w:rsidRPr="00A225F6">
        <w:rPr>
          <w:szCs w:val="28"/>
        </w:rPr>
        <w:t>В центре внимания Совета Союза наиболее актуальными были вопросы ценообразования, финансирования, банковских гарантий. Отмечались некоторые положительные моменты во взаимоотношениях с заказчиками. Это – авансирование работ, сокращение ср</w:t>
      </w:r>
      <w:r w:rsidR="00370D9D" w:rsidRPr="00A225F6">
        <w:rPr>
          <w:szCs w:val="28"/>
        </w:rPr>
        <w:t>оков оплаты, участие в тендерах</w:t>
      </w:r>
      <w:r w:rsidRPr="00A225F6">
        <w:rPr>
          <w:szCs w:val="28"/>
        </w:rPr>
        <w:t xml:space="preserve"> консорциум</w:t>
      </w:r>
      <w:r w:rsidR="00370D9D" w:rsidRPr="00A225F6">
        <w:rPr>
          <w:szCs w:val="28"/>
        </w:rPr>
        <w:t>ов</w:t>
      </w:r>
      <w:r w:rsidRPr="00A225F6">
        <w:rPr>
          <w:szCs w:val="28"/>
        </w:rPr>
        <w:t>.</w:t>
      </w:r>
    </w:p>
    <w:p w:rsidR="00B4564E" w:rsidRPr="00A225F6" w:rsidRDefault="00B4564E" w:rsidP="00BB565F">
      <w:pPr>
        <w:spacing w:before="0" w:after="0"/>
        <w:rPr>
          <w:szCs w:val="28"/>
        </w:rPr>
      </w:pPr>
      <w:r w:rsidRPr="00A225F6">
        <w:rPr>
          <w:szCs w:val="28"/>
        </w:rPr>
        <w:t>Поддерживая, в основном, проводимую органами государственной власти экономическую политику, делегаты Съезда в то же время отмечают, что государственное регулирование должно быть базовой составляющей формирования мер, которые обеспечили бы нормальное функционирование ТЭК и его эффективное развитие.</w:t>
      </w:r>
    </w:p>
    <w:p w:rsidR="00845F40" w:rsidRPr="00A225F6" w:rsidRDefault="00B4564E" w:rsidP="00BB565F">
      <w:pPr>
        <w:spacing w:before="0" w:after="0"/>
        <w:rPr>
          <w:szCs w:val="28"/>
        </w:rPr>
      </w:pPr>
      <w:r w:rsidRPr="00A225F6">
        <w:rPr>
          <w:szCs w:val="28"/>
        </w:rPr>
        <w:t>Делегаты Съезда отметили, что к недостаткам в работе Совета Съезда за истекший период можно отнести</w:t>
      </w:r>
      <w:r w:rsidR="00845F40" w:rsidRPr="00A225F6">
        <w:rPr>
          <w:szCs w:val="28"/>
        </w:rPr>
        <w:t>:</w:t>
      </w:r>
    </w:p>
    <w:p w:rsidR="00B4564E" w:rsidRPr="00A225F6" w:rsidRDefault="00845F40" w:rsidP="00BB565F">
      <w:pPr>
        <w:spacing w:before="0" w:after="0"/>
        <w:rPr>
          <w:szCs w:val="28"/>
        </w:rPr>
      </w:pPr>
      <w:r w:rsidRPr="00A225F6">
        <w:rPr>
          <w:szCs w:val="28"/>
        </w:rPr>
        <w:t>-</w:t>
      </w:r>
      <w:r w:rsidR="00B4564E" w:rsidRPr="00A225F6">
        <w:rPr>
          <w:szCs w:val="28"/>
        </w:rPr>
        <w:t xml:space="preserve"> отсутствие крупной целевой программы</w:t>
      </w:r>
      <w:r w:rsidRPr="00A225F6">
        <w:rPr>
          <w:szCs w:val="28"/>
        </w:rPr>
        <w:t>;</w:t>
      </w:r>
    </w:p>
    <w:p w:rsidR="00845F40" w:rsidRPr="00A225F6" w:rsidRDefault="00845F40" w:rsidP="00BB565F">
      <w:pPr>
        <w:spacing w:before="0" w:after="0"/>
        <w:rPr>
          <w:szCs w:val="28"/>
        </w:rPr>
      </w:pPr>
      <w:r w:rsidRPr="00A225F6">
        <w:rPr>
          <w:szCs w:val="28"/>
        </w:rPr>
        <w:t>- слабую работу по вовлечению новых членов в Союз;</w:t>
      </w:r>
    </w:p>
    <w:p w:rsidR="00845F40" w:rsidRPr="00A225F6" w:rsidRDefault="00845F40" w:rsidP="00BB565F">
      <w:pPr>
        <w:spacing w:before="0" w:after="0"/>
        <w:rPr>
          <w:szCs w:val="28"/>
        </w:rPr>
      </w:pPr>
      <w:r w:rsidRPr="00A225F6">
        <w:rPr>
          <w:szCs w:val="28"/>
        </w:rPr>
        <w:t>- снижение актуальности рассматриваемых на заседаниях Совета вопросов;</w:t>
      </w:r>
    </w:p>
    <w:p w:rsidR="00845F40" w:rsidRPr="00A225F6" w:rsidRDefault="00845F40" w:rsidP="00BB565F">
      <w:pPr>
        <w:spacing w:before="0" w:after="0"/>
        <w:rPr>
          <w:szCs w:val="28"/>
        </w:rPr>
      </w:pPr>
      <w:r w:rsidRPr="00A225F6">
        <w:rPr>
          <w:szCs w:val="28"/>
        </w:rPr>
        <w:t xml:space="preserve">- принятия решений подчас носили </w:t>
      </w:r>
      <w:r w:rsidR="00370D9D" w:rsidRPr="00A225F6">
        <w:rPr>
          <w:szCs w:val="28"/>
        </w:rPr>
        <w:t>формальный</w:t>
      </w:r>
      <w:r w:rsidRPr="00A225F6">
        <w:rPr>
          <w:szCs w:val="28"/>
        </w:rPr>
        <w:t xml:space="preserve"> характер;</w:t>
      </w:r>
    </w:p>
    <w:p w:rsidR="00845F40" w:rsidRPr="00A225F6" w:rsidRDefault="003D1F12" w:rsidP="00BB565F">
      <w:pPr>
        <w:spacing w:before="0" w:after="0"/>
        <w:rPr>
          <w:szCs w:val="28"/>
        </w:rPr>
      </w:pPr>
      <w:r>
        <w:rPr>
          <w:szCs w:val="28"/>
        </w:rPr>
        <w:t>- </w:t>
      </w:r>
      <w:r w:rsidR="00845F40" w:rsidRPr="00A225F6">
        <w:rPr>
          <w:szCs w:val="28"/>
        </w:rPr>
        <w:t xml:space="preserve">Дирекцией Совета не </w:t>
      </w:r>
      <w:r w:rsidR="00370D9D" w:rsidRPr="00A225F6">
        <w:rPr>
          <w:szCs w:val="28"/>
        </w:rPr>
        <w:t xml:space="preserve">всегда </w:t>
      </w:r>
      <w:r w:rsidR="00845F40" w:rsidRPr="00A225F6">
        <w:rPr>
          <w:szCs w:val="28"/>
        </w:rPr>
        <w:t xml:space="preserve">был налажен должный </w:t>
      </w:r>
      <w:proofErr w:type="gramStart"/>
      <w:r w:rsidR="00845F40" w:rsidRPr="00A225F6">
        <w:rPr>
          <w:szCs w:val="28"/>
        </w:rPr>
        <w:t>контроль за</w:t>
      </w:r>
      <w:proofErr w:type="gramEnd"/>
      <w:r w:rsidR="00845F40" w:rsidRPr="00A225F6">
        <w:rPr>
          <w:szCs w:val="28"/>
        </w:rPr>
        <w:t xml:space="preserve"> принимаемыми решениями.</w:t>
      </w:r>
    </w:p>
    <w:p w:rsidR="00845F40" w:rsidRPr="00A225F6" w:rsidRDefault="00845F40" w:rsidP="00BB565F">
      <w:pPr>
        <w:spacing w:before="0" w:after="0"/>
        <w:rPr>
          <w:szCs w:val="28"/>
        </w:rPr>
      </w:pPr>
      <w:r w:rsidRPr="00A225F6">
        <w:rPr>
          <w:szCs w:val="28"/>
        </w:rPr>
        <w:lastRenderedPageBreak/>
        <w:t xml:space="preserve">В отчетном докладе и в выступлениях делегатов отмечалось, что </w:t>
      </w:r>
      <w:r w:rsidRPr="00A225F6">
        <w:rPr>
          <w:szCs w:val="28"/>
          <w:lang w:val="en-US"/>
        </w:rPr>
        <w:t>VI</w:t>
      </w:r>
      <w:r w:rsidRPr="00A225F6">
        <w:rPr>
          <w:szCs w:val="28"/>
        </w:rPr>
        <w:t xml:space="preserve"> Съезд является важнейшим событием для судьбы нашей организации, для определения траектории развития Союза на ближайший период.</w:t>
      </w:r>
    </w:p>
    <w:p w:rsidR="00845F40" w:rsidRPr="00A225F6" w:rsidRDefault="00845F40" w:rsidP="00BB565F">
      <w:pPr>
        <w:spacing w:before="0" w:after="0"/>
        <w:rPr>
          <w:szCs w:val="28"/>
        </w:rPr>
      </w:pPr>
    </w:p>
    <w:p w:rsidR="00845F40" w:rsidRDefault="00845F40" w:rsidP="00BB565F">
      <w:pPr>
        <w:spacing w:before="0" w:after="0"/>
        <w:ind w:firstLine="0"/>
        <w:jc w:val="center"/>
        <w:rPr>
          <w:b/>
          <w:szCs w:val="28"/>
        </w:rPr>
      </w:pPr>
      <w:r w:rsidRPr="00A225F6">
        <w:rPr>
          <w:b/>
          <w:szCs w:val="28"/>
          <w:lang w:val="en-US"/>
        </w:rPr>
        <w:t>VI</w:t>
      </w:r>
      <w:r w:rsidRPr="00A225F6">
        <w:rPr>
          <w:b/>
          <w:szCs w:val="28"/>
        </w:rPr>
        <w:t xml:space="preserve"> очередной Съезд Некоммерческой организации «Российской Союз </w:t>
      </w:r>
      <w:proofErr w:type="spellStart"/>
      <w:r w:rsidRPr="00A225F6">
        <w:rPr>
          <w:b/>
          <w:szCs w:val="28"/>
        </w:rPr>
        <w:t>Нефтегазостроителей</w:t>
      </w:r>
      <w:proofErr w:type="spellEnd"/>
      <w:r w:rsidRPr="00A225F6">
        <w:rPr>
          <w:b/>
          <w:szCs w:val="28"/>
        </w:rPr>
        <w:t>» решил:</w:t>
      </w:r>
    </w:p>
    <w:p w:rsidR="003D1F12" w:rsidRPr="00A225F6" w:rsidRDefault="003D1F12" w:rsidP="00BB565F">
      <w:pPr>
        <w:spacing w:before="0" w:after="0"/>
        <w:ind w:firstLine="0"/>
        <w:jc w:val="center"/>
        <w:rPr>
          <w:b/>
          <w:szCs w:val="28"/>
        </w:rPr>
      </w:pPr>
    </w:p>
    <w:p w:rsidR="00845F40" w:rsidRPr="00A225F6" w:rsidRDefault="003D1F12" w:rsidP="00BB565F">
      <w:pPr>
        <w:spacing w:before="0" w:after="0"/>
        <w:rPr>
          <w:szCs w:val="28"/>
        </w:rPr>
      </w:pPr>
      <w:r>
        <w:rPr>
          <w:szCs w:val="28"/>
        </w:rPr>
        <w:t>1. </w:t>
      </w:r>
      <w:r w:rsidR="00845F40" w:rsidRPr="00A225F6">
        <w:rPr>
          <w:szCs w:val="28"/>
        </w:rPr>
        <w:t xml:space="preserve">Работу Совета Союза за отчетный период признать </w:t>
      </w:r>
      <w:r w:rsidR="00AA3886">
        <w:rPr>
          <w:szCs w:val="28"/>
        </w:rPr>
        <w:t>удовлетворительной</w:t>
      </w:r>
      <w:r w:rsidR="003B7FAB" w:rsidRPr="00A225F6">
        <w:rPr>
          <w:szCs w:val="28"/>
        </w:rPr>
        <w:t>;</w:t>
      </w:r>
    </w:p>
    <w:p w:rsidR="003B7FAB" w:rsidRPr="00A225F6" w:rsidRDefault="003D1F12" w:rsidP="00BB565F">
      <w:pPr>
        <w:spacing w:before="0" w:after="0"/>
        <w:rPr>
          <w:szCs w:val="28"/>
        </w:rPr>
      </w:pPr>
      <w:r>
        <w:rPr>
          <w:szCs w:val="28"/>
        </w:rPr>
        <w:t>2. </w:t>
      </w:r>
      <w:r w:rsidR="00845F40" w:rsidRPr="00A225F6">
        <w:rPr>
          <w:szCs w:val="28"/>
        </w:rPr>
        <w:t xml:space="preserve">Считать одной из важнейших задач Союза </w:t>
      </w:r>
      <w:r w:rsidR="003B7FAB" w:rsidRPr="00A225F6">
        <w:rPr>
          <w:szCs w:val="28"/>
        </w:rPr>
        <w:t>координацию деятельности и защиту интересов организаций – членов Союза при реализации программ по развитию нефтегазового комплекса России. Совету Союза продолжить работу по решению проблем нефтегазостроителей. Повысить степень коммуникации членов Союза с Дирекцией Союза. Регулярно информировать членов Союза о проводимой работе, мероприятиях и полученных результатах;</w:t>
      </w:r>
    </w:p>
    <w:p w:rsidR="003B7FAB" w:rsidRPr="00A225F6" w:rsidRDefault="003D1F12" w:rsidP="00BB565F">
      <w:pPr>
        <w:spacing w:before="0" w:after="0"/>
        <w:rPr>
          <w:szCs w:val="28"/>
        </w:rPr>
      </w:pPr>
      <w:r>
        <w:rPr>
          <w:szCs w:val="28"/>
        </w:rPr>
        <w:t>3. </w:t>
      </w:r>
      <w:r w:rsidR="003B7FAB" w:rsidRPr="00A225F6">
        <w:rPr>
          <w:szCs w:val="28"/>
        </w:rPr>
        <w:t>Продолжить практику участия членов Совета, актива Союза, экспертов-специалистов в общественных, научных, научно-технических Советах профильных Министерств и ведомств, комитетах и комиссиях ГД и Совета Федерации, в технических комитетах заказчиков, научных советах высших учебных заведений;</w:t>
      </w:r>
    </w:p>
    <w:p w:rsidR="003B7FAB" w:rsidRPr="00A225F6" w:rsidRDefault="003D1F12" w:rsidP="00BB565F">
      <w:pPr>
        <w:spacing w:before="0" w:after="0"/>
        <w:rPr>
          <w:szCs w:val="28"/>
        </w:rPr>
      </w:pPr>
      <w:r>
        <w:rPr>
          <w:szCs w:val="28"/>
        </w:rPr>
        <w:t>4. </w:t>
      </w:r>
      <w:r w:rsidR="003B7FAB" w:rsidRPr="00A225F6">
        <w:rPr>
          <w:szCs w:val="28"/>
        </w:rPr>
        <w:t>Совету Союза, комитетам, с привлечением специалистов предприятий и организаций – членов Союза обеспечить участие в подготовке и обсуждении проектов федеральных законов и разработке нормативно-правовой базы в нефтегазостроительной отрасли;</w:t>
      </w:r>
    </w:p>
    <w:p w:rsidR="003B7FAB" w:rsidRPr="00A225F6" w:rsidRDefault="003D1F12" w:rsidP="00BB565F">
      <w:pPr>
        <w:spacing w:before="0" w:after="0"/>
        <w:rPr>
          <w:szCs w:val="28"/>
        </w:rPr>
      </w:pPr>
      <w:r>
        <w:rPr>
          <w:szCs w:val="28"/>
        </w:rPr>
        <w:t>5. </w:t>
      </w:r>
      <w:proofErr w:type="gramStart"/>
      <w:r w:rsidR="003B7FAB" w:rsidRPr="00A225F6">
        <w:rPr>
          <w:szCs w:val="28"/>
        </w:rPr>
        <w:t>Совету Союза, комитетам для участия в решении Государственных программ по формированию нефтегазового комплекса на территории Восточной Сибири, Дальнего Востока, арктических шельфах шире использовать возможности интеллектуального и научного потенциала для объединения научных и инженерных сил, используя в этих целях научно-практические конференции, выставки, симпозиумы, в том числе, для пропаганды научно-технического прогресса, обмена опытом и выработки соответствующих решений и рекомендаций;</w:t>
      </w:r>
      <w:proofErr w:type="gramEnd"/>
    </w:p>
    <w:p w:rsidR="003B7FAB" w:rsidRPr="00A225F6" w:rsidRDefault="003D1F12" w:rsidP="00BB565F">
      <w:pPr>
        <w:spacing w:before="0" w:after="0"/>
        <w:rPr>
          <w:szCs w:val="28"/>
        </w:rPr>
      </w:pPr>
      <w:r>
        <w:rPr>
          <w:szCs w:val="28"/>
        </w:rPr>
        <w:t>6. </w:t>
      </w:r>
      <w:r w:rsidR="003B7FAB" w:rsidRPr="00A225F6">
        <w:rPr>
          <w:szCs w:val="28"/>
        </w:rPr>
        <w:t xml:space="preserve">Новому составу Совета РОССНГС сосредоточить усилия на увеличении численности Союза. Организовать эту работу так, чтобы вновь вступающие организации </w:t>
      </w:r>
      <w:r w:rsidR="00BB565F" w:rsidRPr="00A225F6">
        <w:rPr>
          <w:szCs w:val="28"/>
        </w:rPr>
        <w:t xml:space="preserve">почувствовали необходимость и </w:t>
      </w:r>
      <w:r w:rsidR="00370D9D" w:rsidRPr="00A225F6">
        <w:rPr>
          <w:szCs w:val="28"/>
        </w:rPr>
        <w:t>важность</w:t>
      </w:r>
      <w:r w:rsidR="00BB565F" w:rsidRPr="00A225F6">
        <w:rPr>
          <w:szCs w:val="28"/>
        </w:rPr>
        <w:t xml:space="preserve"> работы в составе Союза;</w:t>
      </w:r>
    </w:p>
    <w:p w:rsidR="00BB565F" w:rsidRPr="00A225F6" w:rsidRDefault="003D1F12" w:rsidP="00BB565F">
      <w:pPr>
        <w:spacing w:before="0" w:after="0"/>
        <w:rPr>
          <w:szCs w:val="28"/>
        </w:rPr>
      </w:pPr>
      <w:r>
        <w:rPr>
          <w:szCs w:val="28"/>
        </w:rPr>
        <w:t>7. </w:t>
      </w:r>
      <w:r w:rsidR="00BB565F" w:rsidRPr="00A225F6">
        <w:rPr>
          <w:szCs w:val="28"/>
        </w:rPr>
        <w:t>Совету Союза, совместно с Благотворительным фондом «Ветеран Нефтегазстроя» им. Б.Е. Щербины продолжить работу по сохранению истории нефтегазостроительной отрасли, увековечиванию памяти выдающихся работников и их вклада в развитие экономики страны. Сохранить практику проведения торжественных мероприятий, посвященных знаменательным датам. Разработать и осуществлять меры по дальнейшей материальной и моральной поддержке ветеранов. Продолжить работу по представлению заслуженных работников к Правительственным</w:t>
      </w:r>
      <w:r w:rsidR="00370D9D" w:rsidRPr="00A225F6">
        <w:rPr>
          <w:szCs w:val="28"/>
        </w:rPr>
        <w:t xml:space="preserve"> и отраслевым наградам, званиям</w:t>
      </w:r>
      <w:r w:rsidR="00BB565F" w:rsidRPr="00A225F6">
        <w:rPr>
          <w:szCs w:val="28"/>
        </w:rPr>
        <w:t xml:space="preserve"> «Заслуженный нефтегазостроитель», медал</w:t>
      </w:r>
      <w:r w:rsidR="00370D9D" w:rsidRPr="00A225F6">
        <w:rPr>
          <w:szCs w:val="28"/>
        </w:rPr>
        <w:t>ями</w:t>
      </w:r>
      <w:r w:rsidR="00BB565F" w:rsidRPr="00A225F6">
        <w:rPr>
          <w:szCs w:val="28"/>
        </w:rPr>
        <w:t xml:space="preserve"> А.К. Кортунова, Б.Е. Щербины, МТЭА им. Н.К. </w:t>
      </w:r>
      <w:proofErr w:type="spellStart"/>
      <w:r w:rsidR="00BB565F" w:rsidRPr="00A225F6">
        <w:rPr>
          <w:szCs w:val="28"/>
        </w:rPr>
        <w:t>Байбакова</w:t>
      </w:r>
      <w:proofErr w:type="spellEnd"/>
      <w:r w:rsidR="00BB565F" w:rsidRPr="00A225F6">
        <w:rPr>
          <w:szCs w:val="28"/>
        </w:rPr>
        <w:t>, А.Н. Косыгина;</w:t>
      </w:r>
    </w:p>
    <w:p w:rsidR="00BB565F" w:rsidRPr="00A225F6" w:rsidRDefault="003D1F12" w:rsidP="00BB565F">
      <w:pPr>
        <w:spacing w:before="0" w:after="0"/>
        <w:rPr>
          <w:szCs w:val="28"/>
        </w:rPr>
      </w:pPr>
      <w:r>
        <w:rPr>
          <w:szCs w:val="28"/>
        </w:rPr>
        <w:t>8. </w:t>
      </w:r>
      <w:r w:rsidR="00BB565F" w:rsidRPr="00A225F6">
        <w:rPr>
          <w:szCs w:val="28"/>
        </w:rPr>
        <w:t>Опубликовать Решение Съезда в средствах массовой информации и специализированных изданиях. Направить настоящее решение в организации – члены Союза, федеральным органам исполнительной власти, а также другим заинтересованным компаниям и предприятиям.</w:t>
      </w:r>
    </w:p>
    <w:sectPr w:rsidR="00BB565F" w:rsidRPr="00A225F6" w:rsidSect="003D1F12">
      <w:headerReference w:type="default" r:id="rId7"/>
      <w:pgSz w:w="11906" w:h="16838"/>
      <w:pgMar w:top="568" w:right="567" w:bottom="426" w:left="1134" w:header="426" w:footer="21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6C61" w:rsidRDefault="00716C61" w:rsidP="00927A1E">
      <w:pPr>
        <w:spacing w:before="0" w:after="0"/>
      </w:pPr>
      <w:r>
        <w:separator/>
      </w:r>
    </w:p>
  </w:endnote>
  <w:endnote w:type="continuationSeparator" w:id="0">
    <w:p w:rsidR="00716C61" w:rsidRDefault="00716C61" w:rsidP="00927A1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6C61" w:rsidRDefault="00716C61" w:rsidP="00927A1E">
      <w:pPr>
        <w:spacing w:before="0" w:after="0"/>
      </w:pPr>
      <w:r>
        <w:separator/>
      </w:r>
    </w:p>
  </w:footnote>
  <w:footnote w:type="continuationSeparator" w:id="0">
    <w:p w:rsidR="00716C61" w:rsidRDefault="00716C61" w:rsidP="00927A1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9443000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3D1F12" w:rsidRPr="003D1F12" w:rsidRDefault="003D1F12" w:rsidP="003D1F12">
        <w:pPr>
          <w:pStyle w:val="a3"/>
          <w:ind w:firstLine="0"/>
          <w:jc w:val="center"/>
          <w:rPr>
            <w:sz w:val="20"/>
          </w:rPr>
        </w:pPr>
        <w:r w:rsidRPr="003D1F12">
          <w:rPr>
            <w:sz w:val="20"/>
          </w:rPr>
          <w:fldChar w:fldCharType="begin"/>
        </w:r>
        <w:r w:rsidRPr="003D1F12">
          <w:rPr>
            <w:sz w:val="20"/>
          </w:rPr>
          <w:instrText>PAGE   \* MERGEFORMAT</w:instrText>
        </w:r>
        <w:r w:rsidRPr="003D1F12">
          <w:rPr>
            <w:sz w:val="20"/>
          </w:rPr>
          <w:fldChar w:fldCharType="separate"/>
        </w:r>
        <w:r>
          <w:rPr>
            <w:noProof/>
            <w:sz w:val="20"/>
          </w:rPr>
          <w:t>2</w:t>
        </w:r>
        <w:r w:rsidRPr="003D1F12">
          <w:rPr>
            <w:sz w:val="20"/>
          </w:rPr>
          <w:fldChar w:fldCharType="end"/>
        </w:r>
      </w:p>
    </w:sdtContent>
  </w:sdt>
  <w:p w:rsidR="00927A1E" w:rsidRPr="003D1F12" w:rsidRDefault="00927A1E" w:rsidP="003D1F12">
    <w:pPr>
      <w:pStyle w:val="a3"/>
      <w:ind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FEE"/>
    <w:rsid w:val="00064222"/>
    <w:rsid w:val="00094361"/>
    <w:rsid w:val="000A7007"/>
    <w:rsid w:val="000E57BC"/>
    <w:rsid w:val="00161927"/>
    <w:rsid w:val="0016282C"/>
    <w:rsid w:val="001F5820"/>
    <w:rsid w:val="00257DF8"/>
    <w:rsid w:val="0031397B"/>
    <w:rsid w:val="00361712"/>
    <w:rsid w:val="00370D9D"/>
    <w:rsid w:val="003A440F"/>
    <w:rsid w:val="003B7FAB"/>
    <w:rsid w:val="003D1F12"/>
    <w:rsid w:val="004B1F11"/>
    <w:rsid w:val="004D7DF6"/>
    <w:rsid w:val="00616FC6"/>
    <w:rsid w:val="00626E95"/>
    <w:rsid w:val="00643BC4"/>
    <w:rsid w:val="00676FEE"/>
    <w:rsid w:val="00716C61"/>
    <w:rsid w:val="00766BEB"/>
    <w:rsid w:val="008316EC"/>
    <w:rsid w:val="00845F40"/>
    <w:rsid w:val="00881B9A"/>
    <w:rsid w:val="00892B2E"/>
    <w:rsid w:val="00927A1E"/>
    <w:rsid w:val="00967F77"/>
    <w:rsid w:val="009D44A0"/>
    <w:rsid w:val="009D5A42"/>
    <w:rsid w:val="00A225F6"/>
    <w:rsid w:val="00A505DB"/>
    <w:rsid w:val="00A93DFE"/>
    <w:rsid w:val="00AA3886"/>
    <w:rsid w:val="00AD57EB"/>
    <w:rsid w:val="00AF554D"/>
    <w:rsid w:val="00B37A4C"/>
    <w:rsid w:val="00B4564E"/>
    <w:rsid w:val="00BB565F"/>
    <w:rsid w:val="00BC4652"/>
    <w:rsid w:val="00BD4822"/>
    <w:rsid w:val="00BE08B0"/>
    <w:rsid w:val="00C56B78"/>
    <w:rsid w:val="00C840BD"/>
    <w:rsid w:val="00C8514A"/>
    <w:rsid w:val="00D245C1"/>
    <w:rsid w:val="00E22F9E"/>
    <w:rsid w:val="00E265B2"/>
    <w:rsid w:val="00E43C8A"/>
    <w:rsid w:val="00EB1935"/>
    <w:rsid w:val="00EF3D4A"/>
    <w:rsid w:val="00F72FAB"/>
    <w:rsid w:val="00FA1CEA"/>
    <w:rsid w:val="00FA4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before="120" w:after="12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7BC"/>
  </w:style>
  <w:style w:type="paragraph" w:styleId="1">
    <w:name w:val="heading 1"/>
    <w:basedOn w:val="a"/>
    <w:next w:val="a"/>
    <w:link w:val="10"/>
    <w:uiPriority w:val="9"/>
    <w:qFormat/>
    <w:rsid w:val="001F5820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5820"/>
    <w:rPr>
      <w:rFonts w:eastAsiaTheme="majorEastAsia" w:cstheme="majorBidi"/>
      <w:b/>
      <w:bCs/>
      <w:sz w:val="24"/>
      <w:szCs w:val="28"/>
    </w:rPr>
  </w:style>
  <w:style w:type="paragraph" w:styleId="a3">
    <w:name w:val="header"/>
    <w:basedOn w:val="a"/>
    <w:link w:val="a4"/>
    <w:uiPriority w:val="99"/>
    <w:unhideWhenUsed/>
    <w:rsid w:val="00927A1E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927A1E"/>
  </w:style>
  <w:style w:type="paragraph" w:styleId="a5">
    <w:name w:val="footer"/>
    <w:basedOn w:val="a"/>
    <w:link w:val="a6"/>
    <w:uiPriority w:val="99"/>
    <w:unhideWhenUsed/>
    <w:rsid w:val="00927A1E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927A1E"/>
  </w:style>
  <w:style w:type="paragraph" w:styleId="a7">
    <w:name w:val="No Spacing"/>
    <w:uiPriority w:val="1"/>
    <w:qFormat/>
    <w:rsid w:val="003D1F12"/>
    <w:pPr>
      <w:spacing w:before="0" w:after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before="120" w:after="12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7BC"/>
  </w:style>
  <w:style w:type="paragraph" w:styleId="1">
    <w:name w:val="heading 1"/>
    <w:basedOn w:val="a"/>
    <w:next w:val="a"/>
    <w:link w:val="10"/>
    <w:uiPriority w:val="9"/>
    <w:qFormat/>
    <w:rsid w:val="001F5820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5820"/>
    <w:rPr>
      <w:rFonts w:eastAsiaTheme="majorEastAsia" w:cstheme="majorBidi"/>
      <w:b/>
      <w:bCs/>
      <w:sz w:val="24"/>
      <w:szCs w:val="28"/>
    </w:rPr>
  </w:style>
  <w:style w:type="paragraph" w:styleId="a3">
    <w:name w:val="header"/>
    <w:basedOn w:val="a"/>
    <w:link w:val="a4"/>
    <w:uiPriority w:val="99"/>
    <w:unhideWhenUsed/>
    <w:rsid w:val="00927A1E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927A1E"/>
  </w:style>
  <w:style w:type="paragraph" w:styleId="a5">
    <w:name w:val="footer"/>
    <w:basedOn w:val="a"/>
    <w:link w:val="a6"/>
    <w:uiPriority w:val="99"/>
    <w:unhideWhenUsed/>
    <w:rsid w:val="00927A1E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927A1E"/>
  </w:style>
  <w:style w:type="paragraph" w:styleId="a7">
    <w:name w:val="No Spacing"/>
    <w:uiPriority w:val="1"/>
    <w:qFormat/>
    <w:rsid w:val="003D1F12"/>
    <w:pPr>
      <w:spacing w:before="0"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856</Words>
  <Characters>4881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5726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Moscow</cp:lastModifiedBy>
  <cp:revision>2</cp:revision>
  <cp:lastPrinted>2023-03-30T06:42:00Z</cp:lastPrinted>
  <dcterms:created xsi:type="dcterms:W3CDTF">2023-07-26T18:22:00Z</dcterms:created>
  <dcterms:modified xsi:type="dcterms:W3CDTF">2023-07-26T18:22:00Z</dcterms:modified>
</cp:coreProperties>
</file>